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default" w:ascii="楷体_GB2312" w:hAnsi="楷体_GB2312" w:eastAsia="楷体_GB2312" w:cs="楷体_GB2312"/>
          <w:sz w:val="32"/>
          <w:szCs w:val="40"/>
          <w:lang w:val="en-US"/>
        </w:rPr>
      </w:pPr>
      <w:bookmarkStart w:id="2" w:name="_GoBack"/>
      <w:bookmarkEnd w:id="2"/>
      <w:r>
        <w:rPr>
          <w:rFonts w:hint="eastAsia" w:ascii="楷体_GB2312" w:hAnsi="楷体_GB2312" w:eastAsia="楷体_GB2312" w:cs="楷体_GB2312"/>
          <w:sz w:val="32"/>
          <w:szCs w:val="40"/>
        </w:rPr>
        <w:t>县委</w:t>
      </w:r>
      <w:r>
        <w:rPr>
          <w:rFonts w:hint="eastAsia" w:ascii="楷体_GB2312" w:hAnsi="楷体_GB2312" w:eastAsia="楷体_GB2312" w:cs="楷体_GB2312"/>
          <w:sz w:val="32"/>
          <w:szCs w:val="40"/>
          <w:lang w:val="en-US" w:eastAsia="zh-CN"/>
        </w:rPr>
        <w:t>政法委</w:t>
      </w:r>
      <w:r>
        <w:rPr>
          <w:rFonts w:hint="eastAsia" w:ascii="楷体_GB2312" w:hAnsi="楷体_GB2312" w:eastAsia="楷体_GB2312" w:cs="楷体_GB2312"/>
          <w:sz w:val="32"/>
          <w:szCs w:val="40"/>
        </w:rPr>
        <w:t>常务副</w:t>
      </w:r>
      <w:r>
        <w:rPr>
          <w:rFonts w:hint="eastAsia" w:ascii="楷体_GB2312" w:hAnsi="楷体_GB2312" w:eastAsia="楷体_GB2312" w:cs="楷体_GB2312"/>
          <w:sz w:val="32"/>
          <w:szCs w:val="40"/>
          <w:lang w:val="en-US" w:eastAsia="zh-CN"/>
        </w:rPr>
        <w:t>书记  周冠华</w:t>
      </w:r>
    </w:p>
    <w:p>
      <w:pPr>
        <w:ind w:firstLine="640" w:firstLineChars="200"/>
        <w:rPr>
          <w:rFonts w:hint="eastAsia" w:ascii="仿宋_GB2312" w:hAnsi="仿宋_GB2312" w:eastAsia="仿宋_GB2312" w:cs="仿宋_GB2312"/>
          <w:sz w:val="32"/>
          <w:szCs w:val="40"/>
        </w:rPr>
      </w:pPr>
      <w:r>
        <w:rPr>
          <w:rFonts w:hint="eastAsia" w:ascii="仿宋_GB2312" w:hAnsi="仿宋" w:eastAsia="仿宋_GB2312" w:cs="仿宋"/>
          <w:sz w:val="32"/>
          <w:szCs w:val="32"/>
        </w:rPr>
        <w:t>今年以来，在县委的正确领导下，</w:t>
      </w:r>
      <w:r>
        <w:rPr>
          <w:rFonts w:hint="eastAsia" w:ascii="仿宋_GB2312" w:hAnsi="仿宋" w:eastAsia="仿宋_GB2312" w:cs="仿宋"/>
          <w:sz w:val="32"/>
          <w:szCs w:val="32"/>
          <w:lang w:val="en-US" w:eastAsia="zh-CN"/>
        </w:rPr>
        <w:t>在广大政法干警的支持下，</w:t>
      </w:r>
      <w:r>
        <w:rPr>
          <w:rFonts w:hint="eastAsia" w:ascii="仿宋_GB2312" w:hAnsi="仿宋_GB2312" w:eastAsia="仿宋_GB2312" w:cs="仿宋_GB2312"/>
          <w:sz w:val="32"/>
          <w:szCs w:val="40"/>
          <w:lang w:val="en-US" w:eastAsia="zh-CN"/>
        </w:rPr>
        <w:t>我认真履行法治建设第一责任人责任，深入学习贯彻落实习近平总书记全面依法治国新理念新思想，紧紧围绕县委、县政府中心工作，切实抓好政法系统法治建设各项任务。</w:t>
      </w:r>
      <w:r>
        <w:rPr>
          <w:rFonts w:hint="eastAsia" w:ascii="仿宋_GB2312" w:hAnsi="仿宋_GB2312" w:eastAsia="仿宋_GB2312" w:cs="仿宋_GB2312"/>
          <w:sz w:val="32"/>
          <w:szCs w:val="40"/>
        </w:rPr>
        <w:t>根据述法工作要求，现将本人202</w:t>
      </w:r>
      <w:r>
        <w:rPr>
          <w:rFonts w:hint="eastAsia" w:ascii="仿宋_GB2312" w:hAnsi="仿宋_GB2312" w:eastAsia="仿宋_GB2312" w:cs="仿宋_GB2312"/>
          <w:sz w:val="32"/>
          <w:szCs w:val="40"/>
          <w:lang w:val="en-US" w:eastAsia="zh-CN"/>
        </w:rPr>
        <w:t>3</w:t>
      </w:r>
      <w:r>
        <w:rPr>
          <w:rFonts w:hint="eastAsia" w:ascii="仿宋_GB2312" w:hAnsi="仿宋_GB2312" w:eastAsia="仿宋_GB2312" w:cs="仿宋_GB2312"/>
          <w:sz w:val="32"/>
          <w:szCs w:val="40"/>
        </w:rPr>
        <w:t>年以来履行法治建设第一责任人责任、推动本部门法治建设情况报告如下。</w:t>
      </w:r>
    </w:p>
    <w:p>
      <w:pPr>
        <w:numPr>
          <w:ilvl w:val="0"/>
          <w:numId w:val="1"/>
        </w:numPr>
        <w:ind w:firstLine="640" w:firstLineChars="200"/>
        <w:rPr>
          <w:rFonts w:hint="eastAsia" w:ascii="仿宋_GB2312" w:hAnsi="仿宋" w:eastAsia="仿宋_GB2312" w:cs="仿宋"/>
          <w:b/>
          <w:bCs/>
          <w:sz w:val="32"/>
          <w:szCs w:val="32"/>
          <w:lang w:val="en-US" w:eastAsia="zh-CN"/>
        </w:rPr>
      </w:pPr>
      <w:r>
        <w:rPr>
          <w:rFonts w:hint="eastAsia" w:ascii="黑体" w:hAnsi="黑体" w:eastAsia="黑体" w:cs="黑体"/>
          <w:sz w:val="32"/>
          <w:szCs w:val="40"/>
        </w:rPr>
        <w:t>履行法治建设第一责任人职责情况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楷体_GB2312" w:hAnsi="楷体_GB2312" w:eastAsia="楷体_GB2312" w:cs="楷体_GB2312"/>
          <w:sz w:val="32"/>
          <w:szCs w:val="40"/>
        </w:rPr>
        <w:t>坚持学思践悟</w:t>
      </w:r>
      <w:r>
        <w:rPr>
          <w:rFonts w:hint="eastAsia" w:ascii="楷体_GB2312" w:hAnsi="楷体_GB2312" w:eastAsia="楷体_GB2312" w:cs="楷体_GB2312"/>
          <w:sz w:val="32"/>
          <w:szCs w:val="40"/>
          <w:lang w:eastAsia="zh-CN"/>
        </w:rPr>
        <w:t>。</w:t>
      </w:r>
      <w:r>
        <w:rPr>
          <w:rFonts w:hint="eastAsia" w:ascii="仿宋_GB2312" w:hAnsi="仿宋_GB2312" w:eastAsia="仿宋_GB2312" w:cs="仿宋_GB2312"/>
          <w:sz w:val="32"/>
          <w:szCs w:val="40"/>
          <w:lang w:val="en-US" w:eastAsia="zh-CN"/>
        </w:rPr>
        <w:t>我始终</w:t>
      </w:r>
      <w:r>
        <w:rPr>
          <w:rFonts w:hint="eastAsia" w:ascii="仿宋_GB2312" w:hAnsi="仿宋_GB2312" w:eastAsia="仿宋_GB2312" w:cs="仿宋_GB2312"/>
          <w:sz w:val="32"/>
          <w:szCs w:val="40"/>
        </w:rPr>
        <w:t>坚持以</w:t>
      </w:r>
      <w:r>
        <w:rPr>
          <w:rFonts w:hint="eastAsia" w:ascii="仿宋_GB2312" w:hAnsi="仿宋_GB2312" w:eastAsia="仿宋_GB2312" w:cs="仿宋_GB2312"/>
          <w:sz w:val="32"/>
          <w:szCs w:val="40"/>
          <w:lang w:val="en-US" w:eastAsia="zh-CN"/>
        </w:rPr>
        <w:t>习近平</w:t>
      </w:r>
      <w:r>
        <w:rPr>
          <w:rFonts w:hint="eastAsia" w:ascii="仿宋_GB2312" w:hAnsi="仿宋_GB2312" w:eastAsia="仿宋_GB2312" w:cs="仿宋_GB2312"/>
          <w:sz w:val="32"/>
          <w:szCs w:val="40"/>
        </w:rPr>
        <w:t>新时代中国特色社会主义思想为指导，始终把法治建设摆在工作的重要位置，认真履行推进法治建设第一责任人职责</w:t>
      </w:r>
      <w:r>
        <w:rPr>
          <w:rFonts w:hint="eastAsia" w:ascii="仿宋_GB2312" w:hAnsi="仿宋_GB2312" w:eastAsia="仿宋_GB2312" w:cs="仿宋_GB2312"/>
          <w:sz w:val="32"/>
          <w:szCs w:val="40"/>
          <w:lang w:eastAsia="zh-CN"/>
        </w:rPr>
        <w:t>，</w:t>
      </w:r>
      <w:r>
        <w:rPr>
          <w:rFonts w:hint="eastAsia" w:ascii="方正仿宋_GB2312" w:hAnsi="方正仿宋_GB2312" w:eastAsia="方正仿宋_GB2312" w:cs="方正仿宋_GB2312"/>
          <w:color w:val="auto"/>
          <w:sz w:val="32"/>
          <w:szCs w:val="32"/>
          <w:shd w:val="clear" w:color="auto" w:fill="FFFFFF"/>
        </w:rPr>
        <w:t>全面落实中央、省委、市委和县委关于开展学习贯彻习近平新时代中国特色社会主义思想主题教育的部署要求,围绕以下四个方面开展了工作：</w:t>
      </w:r>
      <w:r>
        <w:rPr>
          <w:rFonts w:hint="eastAsia" w:ascii="方正仿宋_GB2312" w:hAnsi="方正仿宋_GB2312" w:eastAsia="方正仿宋_GB2312" w:cs="方正仿宋_GB2312"/>
          <w:b/>
          <w:bCs/>
          <w:color w:val="auto"/>
          <w:sz w:val="32"/>
          <w:szCs w:val="32"/>
        </w:rPr>
        <w:t>一是</w:t>
      </w:r>
      <w:r>
        <w:rPr>
          <w:rFonts w:hint="eastAsia" w:ascii="方正仿宋_GB2312" w:hAnsi="方正仿宋_GB2312" w:eastAsia="方正仿宋_GB2312" w:cs="方正仿宋_GB2312"/>
          <w:color w:val="auto"/>
          <w:sz w:val="32"/>
          <w:szCs w:val="32"/>
        </w:rPr>
        <w:t>开展“充电蓄能”集中培训。在支部理论学习中心组研讨会上集中研学《习近平新时代中国特色社会主义思想专题摘编》《习近平新时代中国特色社会主义思想学习纲要》部分内容。</w:t>
      </w:r>
      <w:r>
        <w:rPr>
          <w:rFonts w:hint="eastAsia" w:ascii="方正仿宋_GB2312" w:hAnsi="方正仿宋_GB2312" w:eastAsia="方正仿宋_GB2312" w:cs="方正仿宋_GB2312"/>
          <w:b/>
          <w:bCs/>
          <w:color w:val="auto"/>
          <w:sz w:val="32"/>
          <w:szCs w:val="32"/>
        </w:rPr>
        <w:t>二是</w:t>
      </w:r>
      <w:r>
        <w:rPr>
          <w:rFonts w:hint="eastAsia" w:ascii="方正仿宋_GB2312" w:hAnsi="方正仿宋_GB2312" w:eastAsia="方正仿宋_GB2312" w:cs="方正仿宋_GB2312"/>
          <w:color w:val="auto"/>
          <w:sz w:val="32"/>
          <w:szCs w:val="32"/>
        </w:rPr>
        <w:t>开展“强基赋能”读书交流分享活动。集中购置《习近平著作选读》《习近平新时代中国特色社会主义思想专题摘编》，引导政法干部深刻领会和准确把握党的创新理论、科学体系、丰富内涵、精神实质和实践要求。</w:t>
      </w:r>
      <w:r>
        <w:rPr>
          <w:rFonts w:hint="eastAsia" w:ascii="方正仿宋_GB2312" w:hAnsi="方正仿宋_GB2312" w:eastAsia="方正仿宋_GB2312" w:cs="方正仿宋_GB2312"/>
          <w:b/>
          <w:bCs/>
          <w:color w:val="auto"/>
          <w:sz w:val="32"/>
          <w:szCs w:val="32"/>
        </w:rPr>
        <w:t>三是</w:t>
      </w:r>
      <w:r>
        <w:rPr>
          <w:rFonts w:hint="eastAsia" w:ascii="方正仿宋_GB2312" w:hAnsi="方正仿宋_GB2312" w:eastAsia="方正仿宋_GB2312" w:cs="方正仿宋_GB2312"/>
          <w:color w:val="auto"/>
          <w:sz w:val="32"/>
          <w:szCs w:val="32"/>
        </w:rPr>
        <w:t>开展红色教育活动。组织全体党员干部到广阔天地大有作为纪念馆、八路军豫西抗日纪念馆开展红色教育主题党日活动。</w:t>
      </w:r>
      <w:r>
        <w:rPr>
          <w:rFonts w:hint="eastAsia" w:ascii="方正仿宋_GB2312" w:hAnsi="方正仿宋_GB2312" w:eastAsia="方正仿宋_GB2312" w:cs="方正仿宋_GB2312"/>
          <w:b/>
          <w:bCs/>
          <w:color w:val="auto"/>
          <w:sz w:val="32"/>
          <w:szCs w:val="32"/>
        </w:rPr>
        <w:t>四是</w:t>
      </w:r>
      <w:r>
        <w:rPr>
          <w:rFonts w:hint="eastAsia" w:ascii="方正仿宋_GB2312" w:hAnsi="方正仿宋_GB2312" w:eastAsia="方正仿宋_GB2312" w:cs="方正仿宋_GB2312"/>
          <w:color w:val="auto"/>
          <w:sz w:val="32"/>
          <w:szCs w:val="32"/>
        </w:rPr>
        <w:t>开展主题教育工作。</w:t>
      </w:r>
      <w:r>
        <w:rPr>
          <w:rFonts w:hint="eastAsia" w:ascii="方正仿宋_GB2312" w:hAnsi="方正仿宋_GB2312" w:eastAsia="方正仿宋_GB2312" w:cs="方正仿宋_GB2312"/>
          <w:color w:val="auto"/>
          <w:sz w:val="32"/>
          <w:szCs w:val="32"/>
          <w:lang w:val="en-US" w:eastAsia="zh-CN"/>
        </w:rPr>
        <w:t>结合政法委实际，从重大意义、目标要求、工作落实、组织领导等方面对主题教育工作进行了明确。为党员干部购买发放了主题教育学习教材，</w:t>
      </w:r>
      <w:r>
        <w:rPr>
          <w:rFonts w:hint="eastAsia" w:ascii="方正仿宋_GB2312" w:hAnsi="方正仿宋_GB2312" w:eastAsia="方正仿宋_GB2312" w:cs="方正仿宋_GB2312"/>
          <w:color w:val="auto"/>
          <w:sz w:val="32"/>
          <w:szCs w:val="32"/>
        </w:rPr>
        <w:t>制定学习计划。</w:t>
      </w:r>
      <w:r>
        <w:rPr>
          <w:rFonts w:hint="eastAsia" w:ascii="方正仿宋_GB2312" w:hAnsi="方正仿宋_GB2312" w:eastAsia="方正仿宋_GB2312" w:cs="方正仿宋_GB2312"/>
          <w:color w:val="auto"/>
          <w:sz w:val="32"/>
          <w:szCs w:val="32"/>
          <w:lang w:val="en-US" w:eastAsia="zh-CN"/>
        </w:rPr>
        <w:t>常态化开展</w:t>
      </w:r>
      <w:r>
        <w:rPr>
          <w:rFonts w:hint="eastAsia" w:ascii="方正仿宋_GB2312" w:hAnsi="方正仿宋_GB2312" w:eastAsia="方正仿宋_GB2312" w:cs="方正仿宋_GB2312"/>
          <w:color w:val="auto"/>
          <w:sz w:val="32"/>
          <w:szCs w:val="32"/>
        </w:rPr>
        <w:t>每周二机关全体会集中学习，营造良好</w:t>
      </w:r>
      <w:r>
        <w:rPr>
          <w:rFonts w:hint="eastAsia" w:ascii="方正仿宋_GB2312" w:hAnsi="方正仿宋_GB2312" w:eastAsia="方正仿宋_GB2312" w:cs="方正仿宋_GB2312"/>
          <w:color w:val="auto"/>
          <w:sz w:val="32"/>
          <w:szCs w:val="32"/>
          <w:lang w:val="en-US" w:eastAsia="zh-CN"/>
        </w:rPr>
        <w:t>学习</w:t>
      </w:r>
      <w:r>
        <w:rPr>
          <w:rFonts w:hint="eastAsia" w:ascii="方正仿宋_GB2312" w:hAnsi="方正仿宋_GB2312" w:eastAsia="方正仿宋_GB2312" w:cs="方正仿宋_GB2312"/>
          <w:color w:val="auto"/>
          <w:sz w:val="32"/>
          <w:szCs w:val="32"/>
        </w:rPr>
        <w:t>氛围。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楷体_GB2312" w:hAnsi="楷体_GB2312" w:eastAsia="楷体_GB2312" w:cs="楷体_GB2312"/>
          <w:sz w:val="32"/>
          <w:szCs w:val="40"/>
        </w:rPr>
        <w:t>健全工作机制</w:t>
      </w:r>
      <w:r>
        <w:rPr>
          <w:rFonts w:hint="eastAsia" w:ascii="楷体_GB2312" w:hAnsi="楷体_GB2312" w:eastAsia="楷体_GB2312" w:cs="楷体_GB2312"/>
          <w:sz w:val="32"/>
          <w:szCs w:val="40"/>
          <w:lang w:eastAsia="zh-CN"/>
        </w:rPr>
        <w:t>。</w:t>
      </w:r>
      <w:r>
        <w:rPr>
          <w:rFonts w:hint="eastAsia" w:ascii="方正仿宋_GB2312" w:hAnsi="方正仿宋_GB2312" w:eastAsia="方正仿宋_GB2312" w:cs="方正仿宋_GB2312"/>
          <w:b/>
          <w:bCs/>
          <w:color w:val="auto"/>
          <w:sz w:val="32"/>
          <w:szCs w:val="32"/>
        </w:rPr>
        <w:t>一是</w:t>
      </w:r>
      <w:r>
        <w:rPr>
          <w:rFonts w:hint="eastAsia" w:ascii="方正仿宋_GB2312" w:hAnsi="方正仿宋_GB2312" w:eastAsia="方正仿宋_GB2312" w:cs="方正仿宋_GB2312"/>
          <w:b w:val="0"/>
          <w:bCs w:val="0"/>
          <w:color w:val="auto"/>
          <w:sz w:val="32"/>
          <w:szCs w:val="32"/>
          <w:lang w:eastAsia="zh-CN"/>
        </w:rPr>
        <w:t>加强政治安全能力建设，抵御宗教渗透工作和防范处置境外非政府组织渗透工作。印发《关于加强全县政法领域政治安全体系和能力建设的任务分工方案》通知，</w:t>
      </w:r>
      <w:r>
        <w:rPr>
          <w:rFonts w:hint="eastAsia" w:ascii="方正仿宋_GB2312" w:hAnsi="方正仿宋_GB2312" w:eastAsia="方正仿宋_GB2312" w:cs="方正仿宋_GB2312"/>
          <w:color w:val="auto"/>
          <w:sz w:val="32"/>
          <w:szCs w:val="32"/>
        </w:rPr>
        <w:t>在党委、政府统一领导下，积极会同统战、宗教等部门，充分发挥职能作用，对境外宗教渗透活动全面开展专项调查、专案侦察、情报信息、打击取缔等工作</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切实维护国家政治安全和宗教领域稳定。</w:t>
      </w:r>
      <w:r>
        <w:rPr>
          <w:rFonts w:hint="eastAsia" w:ascii="方正仿宋_GB2312" w:hAnsi="方正仿宋_GB2312" w:eastAsia="方正仿宋_GB2312" w:cs="方正仿宋_GB2312"/>
          <w:b/>
          <w:bCs/>
          <w:color w:val="auto"/>
          <w:sz w:val="32"/>
          <w:szCs w:val="32"/>
          <w:lang w:val="en-US" w:eastAsia="zh-CN"/>
        </w:rPr>
        <w:t>二</w:t>
      </w:r>
      <w:r>
        <w:rPr>
          <w:rFonts w:hint="eastAsia" w:ascii="方正仿宋_GB2312" w:hAnsi="方正仿宋_GB2312" w:eastAsia="方正仿宋_GB2312" w:cs="方正仿宋_GB2312"/>
          <w:b/>
          <w:bCs/>
          <w:color w:val="auto"/>
          <w:sz w:val="32"/>
          <w:szCs w:val="32"/>
        </w:rPr>
        <w:t>是</w:t>
      </w:r>
      <w:r>
        <w:rPr>
          <w:rFonts w:hint="eastAsia" w:ascii="方正仿宋_GB2312" w:hAnsi="方正仿宋_GB2312" w:eastAsia="方正仿宋_GB2312" w:cs="方正仿宋_GB2312"/>
          <w:b w:val="0"/>
          <w:bCs w:val="0"/>
          <w:color w:val="auto"/>
          <w:sz w:val="32"/>
          <w:szCs w:val="32"/>
          <w:lang w:eastAsia="zh-CN"/>
        </w:rPr>
        <w:t>延续信访维稳</w:t>
      </w:r>
      <w:r>
        <w:rPr>
          <w:rFonts w:hint="eastAsia" w:ascii="方正仿宋_GB2312" w:hAnsi="方正仿宋_GB2312" w:eastAsia="方正仿宋_GB2312" w:cs="方正仿宋_GB2312"/>
          <w:color w:val="auto"/>
          <w:sz w:val="32"/>
          <w:szCs w:val="32"/>
        </w:rPr>
        <w:t>工作机制。坚持把维稳安保作为首要政治任务，县委、县政府强化顶层设计、总体谋划，政法委、联席办“双轨推进”，</w:t>
      </w:r>
      <w:r>
        <w:rPr>
          <w:rFonts w:hint="eastAsia" w:ascii="方正仿宋_GB2312" w:hAnsi="方正仿宋_GB2312" w:eastAsia="方正仿宋_GB2312" w:cs="方正仿宋_GB2312"/>
          <w:color w:val="auto"/>
          <w:sz w:val="32"/>
          <w:szCs w:val="32"/>
          <w:lang w:eastAsia="zh-CN"/>
        </w:rPr>
        <w:t>延续</w:t>
      </w:r>
      <w:r>
        <w:rPr>
          <w:rFonts w:hint="eastAsia" w:ascii="方正仿宋_GB2312" w:hAnsi="方正仿宋_GB2312" w:eastAsia="方正仿宋_GB2312" w:cs="方正仿宋_GB2312"/>
          <w:color w:val="auto"/>
          <w:sz w:val="32"/>
          <w:szCs w:val="32"/>
        </w:rPr>
        <w:t>去年二十大期间实施的“13471”工作机制，有效排查化解各类涉稳风险隐患。</w:t>
      </w:r>
      <w:r>
        <w:rPr>
          <w:rFonts w:hint="eastAsia" w:ascii="方正仿宋_GB2312" w:hAnsi="方正仿宋_GB2312" w:eastAsia="方正仿宋_GB2312" w:cs="方正仿宋_GB2312"/>
          <w:b/>
          <w:bCs/>
          <w:color w:val="auto"/>
          <w:sz w:val="32"/>
          <w:szCs w:val="32"/>
        </w:rPr>
        <w:t>三是</w:t>
      </w:r>
      <w:r>
        <w:rPr>
          <w:rFonts w:hint="eastAsia" w:ascii="方正仿宋_GB2312" w:hAnsi="方正仿宋_GB2312" w:eastAsia="方正仿宋_GB2312" w:cs="方正仿宋_GB2312"/>
          <w:color w:val="auto"/>
          <w:sz w:val="32"/>
          <w:szCs w:val="32"/>
        </w:rPr>
        <w:t>严格落实涉稳重点人“四定四包”措施。对平台列管的3名退役人员、1名民师，4名涉法涉诉人员实行四定四包，由县级包案领导召开会议分析研判，制定详细的工作措施，并及时提醒其他包案责任人，明确自身职责，确保重点人员可稳可控。同时，强化车站、平顶山高铁西站等交通重点部位的通道管控措施，通过临控等技术手段，进一步落实科学管控、精准管控，最大限度的把信访重点人稳定控当地，坚决杜绝失控漏管等问题的发生。</w:t>
      </w:r>
      <w:r>
        <w:rPr>
          <w:rFonts w:hint="eastAsia" w:ascii="方正仿宋_GB2312" w:hAnsi="方正仿宋_GB2312" w:eastAsia="方正仿宋_GB2312" w:cs="方正仿宋_GB2312"/>
          <w:b/>
          <w:bCs/>
          <w:color w:val="auto"/>
          <w:sz w:val="32"/>
          <w:szCs w:val="32"/>
        </w:rPr>
        <w:t>四是</w:t>
      </w:r>
      <w:r>
        <w:rPr>
          <w:rFonts w:hint="eastAsia" w:ascii="方正仿宋_GB2312" w:hAnsi="方正仿宋_GB2312" w:eastAsia="方正仿宋_GB2312" w:cs="方正仿宋_GB2312"/>
          <w:color w:val="auto"/>
          <w:sz w:val="32"/>
          <w:szCs w:val="32"/>
        </w:rPr>
        <w:t>扎实开展防范打击邪教渗透破坏</w:t>
      </w:r>
      <w:r>
        <w:rPr>
          <w:rFonts w:hint="eastAsia" w:ascii="方正仿宋_GB2312" w:hAnsi="方正仿宋_GB2312" w:eastAsia="方正仿宋_GB2312" w:cs="方正仿宋_GB2312"/>
          <w:color w:val="auto"/>
          <w:sz w:val="32"/>
          <w:szCs w:val="32"/>
          <w:lang w:val="en-US" w:eastAsia="zh-CN"/>
        </w:rPr>
        <w:t>活动</w:t>
      </w:r>
      <w:r>
        <w:rPr>
          <w:rFonts w:hint="eastAsia" w:ascii="方正仿宋_GB2312" w:hAnsi="方正仿宋_GB2312" w:eastAsia="方正仿宋_GB2312" w:cs="方正仿宋_GB2312"/>
          <w:color w:val="auto"/>
          <w:sz w:val="32"/>
          <w:szCs w:val="32"/>
        </w:rPr>
        <w:t>。公安机关发挥主力军作用，全力深挖打击，以打骨干、摧框架为主攻方向，进一步压缩邪教活动的生存空间。今年以来，共打击</w:t>
      </w:r>
      <w:r>
        <w:rPr>
          <w:rFonts w:hint="eastAsia" w:ascii="方正仿宋_GB2312" w:hAnsi="方正仿宋_GB2312" w:eastAsia="方正仿宋_GB2312" w:cs="方正仿宋_GB2312"/>
          <w:color w:val="auto"/>
          <w:sz w:val="32"/>
          <w:szCs w:val="32"/>
          <w:lang w:val="en-US" w:eastAsia="zh-CN"/>
        </w:rPr>
        <w:t>处理邪教人员15人，其中</w:t>
      </w:r>
      <w:r>
        <w:rPr>
          <w:rFonts w:hint="eastAsia" w:ascii="方正仿宋_GB2312" w:hAnsi="方正仿宋_GB2312" w:eastAsia="方正仿宋_GB2312" w:cs="方正仿宋_GB2312"/>
          <w:color w:val="auto"/>
          <w:sz w:val="32"/>
          <w:szCs w:val="32"/>
        </w:rPr>
        <w:t>“全能神”12</w:t>
      </w:r>
      <w:r>
        <w:rPr>
          <w:rFonts w:hint="eastAsia" w:ascii="方正仿宋_GB2312" w:hAnsi="方正仿宋_GB2312" w:eastAsia="方正仿宋_GB2312" w:cs="方正仿宋_GB2312"/>
          <w:color w:val="auto"/>
          <w:sz w:val="32"/>
          <w:szCs w:val="32"/>
          <w:lang w:val="en-US" w:eastAsia="zh-CN"/>
        </w:rPr>
        <w:t>人</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法轮功</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3人</w:t>
      </w:r>
      <w:r>
        <w:rPr>
          <w:rFonts w:hint="eastAsia" w:ascii="方正仿宋_GB2312" w:hAnsi="方正仿宋_GB2312" w:eastAsia="方正仿宋_GB2312" w:cs="方正仿宋_GB2312"/>
          <w:color w:val="auto"/>
          <w:sz w:val="32"/>
          <w:szCs w:val="32"/>
        </w:rPr>
        <w:t>。严打的同时，我们也兼顾教育转化去存量工作，</w:t>
      </w:r>
      <w:r>
        <w:rPr>
          <w:rFonts w:hint="eastAsia" w:ascii="方正仿宋_GB2312" w:hAnsi="方正仿宋_GB2312" w:eastAsia="方正仿宋_GB2312" w:cs="方正仿宋_GB2312"/>
          <w:color w:val="auto"/>
          <w:sz w:val="32"/>
          <w:szCs w:val="32"/>
          <w:lang w:val="en-US" w:eastAsia="zh-CN"/>
        </w:rPr>
        <w:t>共解脱“法轮功”人员75人。今年9月，在中国反邪教网上签名活动“对邪教说不”活动中，我县在全市排名第二。</w:t>
      </w:r>
      <w:r>
        <w:rPr>
          <w:rFonts w:hint="eastAsia" w:ascii="方正仿宋_GB2312" w:hAnsi="方正仿宋_GB2312" w:eastAsia="方正仿宋_GB2312" w:cs="方正仿宋_GB2312"/>
          <w:b/>
          <w:bCs/>
          <w:color w:val="auto"/>
          <w:sz w:val="32"/>
          <w:szCs w:val="32"/>
          <w:lang w:val="en-US" w:eastAsia="zh-CN"/>
        </w:rPr>
        <w:t>五</w:t>
      </w:r>
      <w:r>
        <w:rPr>
          <w:rFonts w:hint="eastAsia" w:ascii="方正仿宋_GB2312" w:hAnsi="方正仿宋_GB2312" w:eastAsia="方正仿宋_GB2312" w:cs="方正仿宋_GB2312"/>
          <w:b/>
          <w:bCs/>
          <w:color w:val="auto"/>
          <w:sz w:val="32"/>
          <w:szCs w:val="32"/>
        </w:rPr>
        <w:t>是</w:t>
      </w:r>
      <w:r>
        <w:rPr>
          <w:rFonts w:hint="eastAsia" w:ascii="方正仿宋_GB2312" w:hAnsi="方正仿宋_GB2312" w:eastAsia="方正仿宋_GB2312" w:cs="方正仿宋_GB2312"/>
          <w:color w:val="auto"/>
          <w:sz w:val="32"/>
          <w:szCs w:val="32"/>
        </w:rPr>
        <w:t>加快非法集资案件的处置化解力度。今年以来，</w:t>
      </w:r>
      <w:r>
        <w:rPr>
          <w:rFonts w:hint="eastAsia" w:ascii="方正仿宋_GB2312" w:hAnsi="方正仿宋_GB2312" w:eastAsia="方正仿宋_GB2312" w:cs="方正仿宋_GB2312"/>
          <w:color w:val="auto"/>
          <w:sz w:val="32"/>
          <w:szCs w:val="32"/>
          <w:lang w:val="en-US" w:eastAsia="zh-CN"/>
        </w:rPr>
        <w:t>我县涉嫌非法集资立案案件11起（全部为旧案），涉案群众3639户，涉案总金额24091万元，已兑付金额4079.52万元，兑付比例16.93%，在全市名列前茅。截至目前，11起案件全部出清。涉及群众情绪稳定，没有发生进京和赴省、市非访及个体极端事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楷体_GB2312" w:hAnsi="楷体_GB2312" w:eastAsia="楷体_GB2312" w:cs="楷体_GB2312"/>
          <w:sz w:val="32"/>
          <w:szCs w:val="40"/>
          <w:lang w:eastAsia="zh-CN"/>
        </w:rPr>
        <w:t>（</w:t>
      </w:r>
      <w:r>
        <w:rPr>
          <w:rFonts w:hint="eastAsia" w:ascii="楷体_GB2312" w:hAnsi="楷体_GB2312" w:eastAsia="楷体_GB2312" w:cs="楷体_GB2312"/>
          <w:sz w:val="32"/>
          <w:szCs w:val="40"/>
          <w:lang w:val="en-US" w:eastAsia="zh-CN"/>
        </w:rPr>
        <w:t>三</w:t>
      </w:r>
      <w:r>
        <w:rPr>
          <w:rFonts w:hint="eastAsia" w:ascii="楷体_GB2312" w:hAnsi="楷体_GB2312" w:eastAsia="楷体_GB2312" w:cs="楷体_GB2312"/>
          <w:sz w:val="32"/>
          <w:szCs w:val="40"/>
          <w:lang w:eastAsia="zh-CN"/>
        </w:rPr>
        <w:t>）扎实推进法治建设。</w:t>
      </w:r>
      <w:r>
        <w:rPr>
          <w:rFonts w:hint="eastAsia" w:ascii="方正仿宋_GB2312" w:hAnsi="方正仿宋_GB2312" w:eastAsia="方正仿宋_GB2312" w:cs="方正仿宋_GB2312"/>
          <w:b/>
          <w:bCs/>
          <w:color w:val="auto"/>
          <w:sz w:val="32"/>
          <w:szCs w:val="32"/>
        </w:rPr>
        <w:t>一是</w:t>
      </w:r>
      <w:r>
        <w:rPr>
          <w:rFonts w:hint="eastAsia" w:ascii="方正仿宋_GB2312" w:hAnsi="方正仿宋_GB2312" w:eastAsia="方正仿宋_GB2312" w:cs="方正仿宋_GB2312"/>
          <w:color w:val="auto"/>
          <w:sz w:val="32"/>
          <w:szCs w:val="32"/>
        </w:rPr>
        <w:t>明确工作重点。县依法治县办</w:t>
      </w:r>
      <w:r>
        <w:rPr>
          <w:rFonts w:hint="eastAsia" w:ascii="方正仿宋_GB2312" w:hAnsi="方正仿宋_GB2312" w:eastAsia="方正仿宋_GB2312" w:cs="方正仿宋_GB2312"/>
          <w:color w:val="auto"/>
          <w:sz w:val="32"/>
          <w:szCs w:val="32"/>
          <w:lang w:val="en-US" w:eastAsia="zh-CN"/>
        </w:rPr>
        <w:t>印发《2023年度建设更高水平法治宝丰工作要点》，进一步明确法治建设年度重点任务及工作分工。</w:t>
      </w:r>
      <w:r>
        <w:rPr>
          <w:rFonts w:hint="eastAsia" w:ascii="方正仿宋_GB2312" w:hAnsi="方正仿宋_GB2312" w:eastAsia="方正仿宋_GB2312" w:cs="方正仿宋_GB2312"/>
          <w:b/>
          <w:bCs/>
          <w:color w:val="auto"/>
          <w:sz w:val="32"/>
          <w:szCs w:val="32"/>
        </w:rPr>
        <w:t>二是</w:t>
      </w:r>
      <w:r>
        <w:rPr>
          <w:rFonts w:hint="eastAsia" w:ascii="方正仿宋_GB2312" w:hAnsi="方正仿宋_GB2312" w:eastAsia="方正仿宋_GB2312" w:cs="方正仿宋_GB2312"/>
          <w:color w:val="auto"/>
          <w:sz w:val="32"/>
          <w:szCs w:val="32"/>
        </w:rPr>
        <w:t>压紧压实</w:t>
      </w:r>
      <w:bookmarkStart w:id="0" w:name="_Hlk118817532"/>
      <w:r>
        <w:rPr>
          <w:rFonts w:hint="eastAsia" w:ascii="方正仿宋_GB2312" w:hAnsi="方正仿宋_GB2312" w:eastAsia="方正仿宋_GB2312" w:cs="方正仿宋_GB2312"/>
          <w:color w:val="auto"/>
          <w:sz w:val="32"/>
          <w:szCs w:val="32"/>
        </w:rPr>
        <w:t>法治建设责任</w:t>
      </w:r>
      <w:bookmarkEnd w:id="0"/>
      <w:r>
        <w:rPr>
          <w:rFonts w:hint="eastAsia" w:ascii="方正仿宋_GB2312" w:hAnsi="方正仿宋_GB2312" w:eastAsia="方正仿宋_GB2312" w:cs="方正仿宋_GB2312"/>
          <w:color w:val="auto"/>
          <w:sz w:val="32"/>
          <w:szCs w:val="32"/>
        </w:rPr>
        <w:t>。</w:t>
      </w:r>
      <w:bookmarkStart w:id="1" w:name="_Hlk118818514"/>
      <w:r>
        <w:rPr>
          <w:rFonts w:hint="eastAsia" w:ascii="方正仿宋_GB2312" w:hAnsi="方正仿宋_GB2312" w:eastAsia="方正仿宋_GB2312" w:cs="方正仿宋_GB2312"/>
          <w:color w:val="auto"/>
          <w:sz w:val="32"/>
          <w:szCs w:val="32"/>
        </w:rPr>
        <w:t>县依法治县办</w:t>
      </w:r>
      <w:bookmarkEnd w:id="1"/>
      <w:r>
        <w:rPr>
          <w:rFonts w:hint="eastAsia" w:ascii="方正仿宋_GB2312" w:hAnsi="方正仿宋_GB2312" w:eastAsia="方正仿宋_GB2312" w:cs="方正仿宋_GB2312"/>
          <w:color w:val="auto"/>
          <w:sz w:val="32"/>
          <w:szCs w:val="32"/>
          <w:lang w:val="en-US" w:eastAsia="zh-CN"/>
        </w:rPr>
        <w:t>扎实开展党政主要负责人履行推进法治建设第一责任人职责巡察。巡察明确提出将党政主要负责人履行推进法治建设第一责任人职责情况作为巡察监督的重要内容，截止目前，已开展了2轮30个单位和1轮2个乡镇巡察，针对巡察发现的共性问题，印发了《十三届县委第四轮常规巡察反馈的“推进法治政府建设工作不力”问题专项整治方案》，开展专项整治。</w:t>
      </w:r>
      <w:r>
        <w:rPr>
          <w:rFonts w:hint="eastAsia" w:ascii="方正仿宋_GB2312" w:hAnsi="方正仿宋_GB2312" w:eastAsia="方正仿宋_GB2312" w:cs="方正仿宋_GB2312"/>
          <w:b/>
          <w:bCs/>
          <w:color w:val="auto"/>
          <w:sz w:val="32"/>
          <w:szCs w:val="32"/>
        </w:rPr>
        <w:t>三是</w:t>
      </w:r>
      <w:r>
        <w:rPr>
          <w:rFonts w:hint="eastAsia" w:ascii="方正仿宋_GB2312" w:hAnsi="方正仿宋_GB2312" w:eastAsia="方正仿宋_GB2312" w:cs="方正仿宋_GB2312"/>
          <w:b w:val="0"/>
          <w:bCs w:val="0"/>
          <w:color w:val="auto"/>
          <w:kern w:val="2"/>
          <w:sz w:val="32"/>
          <w:szCs w:val="32"/>
          <w:shd w:val="clear" w:color="auto" w:fill="FFFFFF"/>
          <w:lang w:val="en-US" w:eastAsia="zh-CN" w:bidi="ar-SA"/>
        </w:rPr>
        <w:t>找准普法宣传切入点，加大宣传力度。</w:t>
      </w:r>
      <w:r>
        <w:rPr>
          <w:rFonts w:hint="eastAsia" w:ascii="方正仿宋_GB2312" w:hAnsi="方正仿宋_GB2312" w:eastAsia="方正仿宋_GB2312" w:cs="方正仿宋_GB2312"/>
          <w:b w:val="0"/>
          <w:bCs w:val="0"/>
          <w:color w:val="auto"/>
          <w:sz w:val="32"/>
          <w:szCs w:val="32"/>
          <w:shd w:val="clear" w:color="auto" w:fill="FFFFFF"/>
        </w:rPr>
        <w:t>结合</w:t>
      </w:r>
      <w:r>
        <w:rPr>
          <w:rFonts w:hint="eastAsia" w:ascii="方正仿宋_GB2312" w:hAnsi="方正仿宋_GB2312" w:eastAsia="方正仿宋_GB2312" w:cs="方正仿宋_GB2312"/>
          <w:b w:val="0"/>
          <w:bCs w:val="0"/>
          <w:color w:val="auto"/>
          <w:sz w:val="32"/>
          <w:szCs w:val="32"/>
          <w:shd w:val="clear" w:color="auto" w:fill="FFFFFF"/>
          <w:lang w:val="en-US" w:eastAsia="zh-CN"/>
        </w:rPr>
        <w:t>重要节日节点</w:t>
      </w:r>
      <w:r>
        <w:rPr>
          <w:rFonts w:hint="eastAsia" w:ascii="方正仿宋_GB2312" w:hAnsi="方正仿宋_GB2312" w:eastAsia="方正仿宋_GB2312" w:cs="方正仿宋_GB2312"/>
          <w:b w:val="0"/>
          <w:bCs w:val="0"/>
          <w:color w:val="auto"/>
          <w:sz w:val="32"/>
          <w:szCs w:val="32"/>
          <w:shd w:val="clear" w:color="auto" w:fill="FFFFFF"/>
        </w:rPr>
        <w:t>，通过“线上+线下”相结合的方式，积极开展</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春节</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马街书会</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3.5雷锋纪念日</w:t>
      </w:r>
      <w:r>
        <w:rPr>
          <w:rFonts w:hint="eastAsia" w:ascii="方正仿宋_GB2312" w:hAnsi="方正仿宋_GB2312" w:eastAsia="方正仿宋_GB2312" w:cs="方正仿宋_GB2312"/>
          <w:b w:val="0"/>
          <w:bCs w:val="0"/>
          <w:color w:val="auto"/>
          <w:sz w:val="32"/>
          <w:szCs w:val="32"/>
          <w:shd w:val="clear" w:color="auto" w:fill="FFFFFF"/>
        </w:rPr>
        <w:t>”</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宪法宣传周</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三八妇女节</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3.15消费者权益保护日</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民法典宣传月</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lang w:val="en-US" w:eastAsia="zh-CN"/>
        </w:rPr>
        <w:t>等普法</w:t>
      </w:r>
      <w:r>
        <w:rPr>
          <w:rFonts w:hint="eastAsia" w:ascii="方正仿宋_GB2312" w:hAnsi="方正仿宋_GB2312" w:eastAsia="方正仿宋_GB2312" w:cs="方正仿宋_GB2312"/>
          <w:b w:val="0"/>
          <w:bCs w:val="0"/>
          <w:color w:val="auto"/>
          <w:sz w:val="32"/>
          <w:szCs w:val="32"/>
          <w:shd w:val="clear" w:color="auto" w:fill="FFFFFF"/>
        </w:rPr>
        <w:t>宣传活动</w:t>
      </w:r>
      <w:r>
        <w:rPr>
          <w:rFonts w:hint="eastAsia" w:ascii="方正仿宋_GB2312" w:hAnsi="方正仿宋_GB2312" w:eastAsia="方正仿宋_GB2312" w:cs="方正仿宋_GB2312"/>
          <w:b w:val="0"/>
          <w:bCs w:val="0"/>
          <w:color w:val="auto"/>
          <w:sz w:val="32"/>
          <w:szCs w:val="32"/>
          <w:shd w:val="clear" w:color="auto" w:fill="FFFFFF"/>
          <w:lang w:eastAsia="zh-CN"/>
        </w:rPr>
        <w:t>，</w:t>
      </w:r>
      <w:r>
        <w:rPr>
          <w:rFonts w:hint="eastAsia" w:ascii="方正仿宋_GB2312" w:hAnsi="方正仿宋_GB2312" w:eastAsia="方正仿宋_GB2312" w:cs="方正仿宋_GB2312"/>
          <w:b w:val="0"/>
          <w:bCs w:val="0"/>
          <w:color w:val="auto"/>
          <w:sz w:val="32"/>
          <w:szCs w:val="32"/>
          <w:shd w:val="clear" w:color="auto" w:fill="FFFFFF"/>
        </w:rPr>
        <w:t>推动</w:t>
      </w:r>
      <w:r>
        <w:rPr>
          <w:rFonts w:hint="eastAsia" w:ascii="方正仿宋_GB2312" w:hAnsi="方正仿宋_GB2312" w:eastAsia="方正仿宋_GB2312" w:cs="方正仿宋_GB2312"/>
          <w:b w:val="0"/>
          <w:bCs w:val="0"/>
          <w:color w:val="auto"/>
          <w:sz w:val="32"/>
          <w:szCs w:val="32"/>
          <w:shd w:val="clear" w:color="auto" w:fill="FFFFFF"/>
          <w:lang w:val="en-US" w:eastAsia="zh-CN"/>
        </w:rPr>
        <w:t>法律宣传</w:t>
      </w:r>
      <w:r>
        <w:rPr>
          <w:rFonts w:hint="eastAsia" w:ascii="方正仿宋_GB2312" w:hAnsi="方正仿宋_GB2312" w:eastAsia="方正仿宋_GB2312" w:cs="方正仿宋_GB2312"/>
          <w:b w:val="0"/>
          <w:bCs w:val="0"/>
          <w:color w:val="auto"/>
          <w:sz w:val="32"/>
          <w:szCs w:val="32"/>
          <w:shd w:val="clear" w:color="auto" w:fill="FFFFFF"/>
        </w:rPr>
        <w:t>深入机关、</w:t>
      </w:r>
      <w:r>
        <w:rPr>
          <w:rFonts w:hint="eastAsia" w:ascii="方正仿宋_GB2312" w:hAnsi="方正仿宋_GB2312" w:eastAsia="方正仿宋_GB2312" w:cs="方正仿宋_GB2312"/>
          <w:b w:val="0"/>
          <w:bCs w:val="0"/>
          <w:color w:val="auto"/>
          <w:sz w:val="32"/>
          <w:szCs w:val="32"/>
          <w:shd w:val="clear" w:color="auto" w:fill="FFFFFF"/>
          <w:lang w:val="en-US" w:eastAsia="zh-CN"/>
        </w:rPr>
        <w:t>乡村、</w:t>
      </w:r>
      <w:r>
        <w:rPr>
          <w:rFonts w:hint="eastAsia" w:ascii="方正仿宋_GB2312" w:hAnsi="方正仿宋_GB2312" w:eastAsia="方正仿宋_GB2312" w:cs="方正仿宋_GB2312"/>
          <w:b w:val="0"/>
          <w:bCs w:val="0"/>
          <w:color w:val="auto"/>
          <w:sz w:val="32"/>
          <w:szCs w:val="32"/>
          <w:shd w:val="clear" w:color="auto" w:fill="FFFFFF"/>
        </w:rPr>
        <w:t>社区、企业、网络</w:t>
      </w:r>
      <w:r>
        <w:rPr>
          <w:rFonts w:hint="eastAsia" w:ascii="方正仿宋_GB2312" w:hAnsi="方正仿宋_GB2312" w:eastAsia="方正仿宋_GB2312" w:cs="方正仿宋_GB2312"/>
          <w:b w:val="0"/>
          <w:bCs w:val="0"/>
          <w:color w:val="auto"/>
          <w:sz w:val="32"/>
          <w:szCs w:val="32"/>
          <w:shd w:val="clear" w:color="auto" w:fill="FFFFFF"/>
          <w:lang w:eastAsia="zh-CN"/>
        </w:rPr>
        <w:t>。</w:t>
      </w:r>
    </w:p>
    <w:p>
      <w:pPr>
        <w:numPr>
          <w:ilvl w:val="0"/>
          <w:numId w:val="0"/>
        </w:numPr>
        <w:ind w:firstLine="640" w:firstLineChars="200"/>
        <w:rPr>
          <w:rFonts w:hint="eastAsia" w:ascii="黑体" w:hAnsi="黑体" w:eastAsia="黑体" w:cs="黑体"/>
          <w:sz w:val="32"/>
          <w:szCs w:val="40"/>
        </w:rPr>
      </w:pPr>
      <w:r>
        <w:rPr>
          <w:rFonts w:hint="eastAsia" w:ascii="黑体" w:hAnsi="黑体" w:eastAsia="黑体" w:cs="黑体"/>
          <w:sz w:val="32"/>
          <w:szCs w:val="40"/>
        </w:rPr>
        <w:t>二、存在</w:t>
      </w:r>
      <w:r>
        <w:rPr>
          <w:rFonts w:hint="eastAsia" w:ascii="黑体" w:hAnsi="黑体" w:eastAsia="黑体" w:cs="黑体"/>
          <w:sz w:val="32"/>
          <w:szCs w:val="40"/>
          <w:lang w:val="en-US" w:eastAsia="zh-CN"/>
        </w:rPr>
        <w:t>的</w:t>
      </w:r>
      <w:r>
        <w:rPr>
          <w:rFonts w:hint="eastAsia" w:ascii="黑体" w:hAnsi="黑体" w:eastAsia="黑体" w:cs="黑体"/>
          <w:sz w:val="32"/>
          <w:szCs w:val="40"/>
        </w:rPr>
        <w:t>问题</w:t>
      </w:r>
    </w:p>
    <w:p>
      <w:pPr>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实践中自己做了一些工作，也进行了一些尝试，但这与</w:t>
      </w:r>
      <w:r>
        <w:rPr>
          <w:rFonts w:hint="eastAsia" w:ascii="仿宋_GB2312" w:hAnsi="仿宋_GB2312" w:eastAsia="仿宋_GB2312" w:cs="仿宋_GB2312"/>
          <w:sz w:val="32"/>
          <w:szCs w:val="40"/>
          <w:lang w:eastAsia="zh-CN"/>
        </w:rPr>
        <w:t>县</w:t>
      </w:r>
      <w:r>
        <w:rPr>
          <w:rFonts w:hint="eastAsia" w:ascii="仿宋_GB2312" w:hAnsi="仿宋_GB2312" w:eastAsia="仿宋_GB2312" w:cs="仿宋_GB2312"/>
          <w:sz w:val="32"/>
          <w:szCs w:val="40"/>
        </w:rPr>
        <w:t>委依法治</w:t>
      </w:r>
      <w:r>
        <w:rPr>
          <w:rFonts w:hint="eastAsia" w:ascii="仿宋_GB2312" w:hAnsi="仿宋_GB2312" w:eastAsia="仿宋_GB2312" w:cs="仿宋_GB2312"/>
          <w:sz w:val="32"/>
          <w:szCs w:val="40"/>
          <w:lang w:eastAsia="zh-CN"/>
        </w:rPr>
        <w:t>县</w:t>
      </w:r>
      <w:r>
        <w:rPr>
          <w:rFonts w:hint="eastAsia" w:ascii="仿宋_GB2312" w:hAnsi="仿宋_GB2312" w:eastAsia="仿宋_GB2312" w:cs="仿宋_GB2312"/>
          <w:sz w:val="32"/>
          <w:szCs w:val="40"/>
        </w:rPr>
        <w:t>工作的要求、广大人民群众的期望还有一定差距。具体还存在：对法治工作思想重视程度有待于进一步提高，《中国共产党</w:t>
      </w:r>
      <w:r>
        <w:rPr>
          <w:rFonts w:hint="eastAsia" w:ascii="仿宋_GB2312" w:hAnsi="仿宋_GB2312" w:eastAsia="仿宋_GB2312" w:cs="仿宋_GB2312"/>
          <w:sz w:val="32"/>
          <w:szCs w:val="40"/>
          <w:lang w:val="en-US" w:eastAsia="zh-CN"/>
        </w:rPr>
        <w:t>政法</w:t>
      </w:r>
      <w:r>
        <w:rPr>
          <w:rFonts w:hint="eastAsia" w:ascii="仿宋_GB2312" w:hAnsi="仿宋_GB2312" w:eastAsia="仿宋_GB2312" w:cs="仿宋_GB2312"/>
          <w:sz w:val="32"/>
          <w:szCs w:val="40"/>
        </w:rPr>
        <w:t>工作条例》学习贯彻需进一步加强，</w:t>
      </w:r>
      <w:r>
        <w:rPr>
          <w:rFonts w:hint="eastAsia" w:ascii="仿宋_GB2312" w:hAnsi="仿宋_GB2312" w:eastAsia="仿宋_GB2312" w:cs="仿宋_GB2312"/>
          <w:sz w:val="32"/>
          <w:szCs w:val="40"/>
          <w:lang w:val="en-US" w:eastAsia="zh-CN"/>
        </w:rPr>
        <w:t>政法</w:t>
      </w:r>
      <w:r>
        <w:rPr>
          <w:rFonts w:hint="eastAsia" w:ascii="仿宋_GB2312" w:hAnsi="仿宋_GB2312" w:eastAsia="仿宋_GB2312" w:cs="仿宋_GB2312"/>
          <w:sz w:val="32"/>
          <w:szCs w:val="40"/>
        </w:rPr>
        <w:t>系统普法宣传覆盖面</w:t>
      </w:r>
      <w:r>
        <w:rPr>
          <w:rFonts w:hint="eastAsia" w:ascii="仿宋_GB2312" w:hAnsi="仿宋_GB2312" w:eastAsia="仿宋_GB2312" w:cs="仿宋_GB2312"/>
          <w:sz w:val="32"/>
          <w:szCs w:val="40"/>
          <w:lang w:val="en-US" w:eastAsia="zh-CN"/>
        </w:rPr>
        <w:t>还可以加大，</w:t>
      </w:r>
      <w:r>
        <w:rPr>
          <w:rFonts w:hint="eastAsia" w:ascii="仿宋_GB2312" w:hAnsi="仿宋_GB2312" w:eastAsia="仿宋_GB2312" w:cs="仿宋_GB2312"/>
          <w:sz w:val="32"/>
          <w:szCs w:val="40"/>
        </w:rPr>
        <w:t>广大干部依法行政没有形成惯性思维、法治素质普遍不高等问题。这些需要自己在今后的工作中认真思考加以解决。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明年工作</w:t>
      </w:r>
      <w:r>
        <w:rPr>
          <w:rFonts w:hint="eastAsia" w:ascii="黑体" w:hAnsi="黑体" w:eastAsia="黑体" w:cs="黑体"/>
          <w:color w:val="auto"/>
          <w:sz w:val="32"/>
          <w:szCs w:val="32"/>
          <w:lang w:val="en-US" w:eastAsia="zh-CN"/>
        </w:rPr>
        <w:t>计划</w:t>
      </w:r>
    </w:p>
    <w:p>
      <w:pPr>
        <w:ind w:firstLine="640" w:firstLineChars="200"/>
        <w:rPr>
          <w:rFonts w:hint="eastAsia" w:ascii="仿宋_GB2312" w:hAnsi="仿宋_GB2312" w:eastAsia="仿宋_GB2312" w:cs="仿宋_GB2312"/>
          <w:sz w:val="32"/>
          <w:szCs w:val="40"/>
        </w:rPr>
      </w:pPr>
      <w:r>
        <w:rPr>
          <w:rFonts w:hint="eastAsia" w:ascii="楷体" w:hAnsi="楷体" w:eastAsia="楷体" w:cs="楷体"/>
          <w:sz w:val="32"/>
          <w:szCs w:val="40"/>
        </w:rPr>
        <w:t xml:space="preserve"> </w:t>
      </w:r>
      <w:r>
        <w:rPr>
          <w:rFonts w:hint="eastAsia" w:ascii="楷体_GB2312" w:hAnsi="楷体_GB2312" w:eastAsia="楷体_GB2312" w:cs="楷体_GB2312"/>
          <w:sz w:val="32"/>
          <w:szCs w:val="40"/>
          <w:lang w:eastAsia="zh-CN"/>
        </w:rPr>
        <w:t>（一）强化组织领导，落实主体责任。</w:t>
      </w:r>
      <w:r>
        <w:rPr>
          <w:rFonts w:hint="eastAsia" w:ascii="仿宋_GB2312" w:hAnsi="仿宋_GB2312" w:eastAsia="仿宋_GB2312" w:cs="仿宋_GB2312"/>
          <w:sz w:val="32"/>
          <w:szCs w:val="40"/>
        </w:rPr>
        <w:t>认真履行法治建设第一责任人职责，贯彻落实党中央关于依法治国的重大决策</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省市县</w:t>
      </w:r>
      <w:r>
        <w:rPr>
          <w:rFonts w:hint="eastAsia" w:ascii="仿宋_GB2312" w:hAnsi="仿宋_GB2312" w:eastAsia="仿宋_GB2312" w:cs="仿宋_GB2312"/>
          <w:sz w:val="32"/>
          <w:szCs w:val="40"/>
        </w:rPr>
        <w:t>关于法治建设部署要求和有关党内法规。坚持法治建设重要工作亲自部署、重大问题亲自过问、重要任务亲自督办，切实承担起法治建设领导者、执行者、推动者的角色。定期听取法治建设工作汇报，及时研究解决有关重大问题，将法治建设纳入年度工作计划。认真执行领导干部不得干预司法活动、插手具体案件处理的相关制度。</w:t>
      </w:r>
    </w:p>
    <w:p>
      <w:pPr>
        <w:ind w:firstLine="640" w:firstLineChars="200"/>
        <w:rPr>
          <w:rFonts w:hint="eastAsia" w:ascii="仿宋_GB2312" w:hAnsi="仿宋_GB2312" w:eastAsia="仿宋_GB2312" w:cs="仿宋_GB2312"/>
          <w:sz w:val="32"/>
          <w:szCs w:val="40"/>
          <w:lang w:val="en-US" w:eastAsia="zh-CN"/>
        </w:rPr>
      </w:pPr>
      <w:r>
        <w:rPr>
          <w:rFonts w:hint="eastAsia" w:ascii="楷体_GB2312" w:hAnsi="楷体_GB2312" w:eastAsia="楷体_GB2312" w:cs="楷体_GB2312"/>
          <w:sz w:val="32"/>
          <w:szCs w:val="40"/>
          <w:lang w:val="en-US" w:eastAsia="zh-CN"/>
        </w:rPr>
        <w:t>（二）提升法治建设水平</w:t>
      </w:r>
      <w:r>
        <w:rPr>
          <w:rFonts w:hint="eastAsia" w:ascii="楷体_GB2312" w:hAnsi="楷体_GB2312" w:eastAsia="楷体_GB2312" w:cs="楷体_GB2312"/>
          <w:sz w:val="32"/>
          <w:szCs w:val="40"/>
          <w:lang w:eastAsia="zh-CN"/>
        </w:rPr>
        <w:t>，</w:t>
      </w:r>
      <w:r>
        <w:rPr>
          <w:rFonts w:hint="eastAsia" w:ascii="楷体_GB2312" w:hAnsi="楷体_GB2312" w:eastAsia="楷体_GB2312" w:cs="楷体_GB2312"/>
          <w:sz w:val="32"/>
          <w:szCs w:val="40"/>
          <w:lang w:val="en-US" w:eastAsia="zh-CN"/>
        </w:rPr>
        <w:t>促进社会公平正义</w:t>
      </w:r>
      <w:r>
        <w:rPr>
          <w:rFonts w:hint="eastAsia" w:ascii="楷体_GB2312" w:hAnsi="楷体_GB2312" w:eastAsia="楷体_GB2312" w:cs="楷体_GB2312"/>
          <w:sz w:val="32"/>
          <w:szCs w:val="40"/>
          <w:lang w:eastAsia="zh-CN"/>
        </w:rPr>
        <w:t>。</w:t>
      </w:r>
      <w:r>
        <w:rPr>
          <w:rFonts w:hint="eastAsia" w:ascii="仿宋_GB2312" w:hAnsi="仿宋_GB2312" w:eastAsia="仿宋_GB2312" w:cs="仿宋_GB2312"/>
          <w:sz w:val="32"/>
          <w:szCs w:val="40"/>
          <w:lang w:val="en-US" w:eastAsia="zh-CN"/>
        </w:rPr>
        <w:t>进一步</w:t>
      </w:r>
      <w:r>
        <w:rPr>
          <w:rFonts w:hint="eastAsia" w:ascii="仿宋_GB2312" w:hAnsi="仿宋_GB2312" w:eastAsia="仿宋_GB2312" w:cs="仿宋_GB2312"/>
          <w:sz w:val="32"/>
          <w:szCs w:val="40"/>
          <w:lang w:eastAsia="zh-CN"/>
        </w:rPr>
        <w:t>加强执法监督</w:t>
      </w:r>
      <w:r>
        <w:rPr>
          <w:rFonts w:hint="eastAsia" w:ascii="仿宋_GB2312" w:hAnsi="仿宋_GB2312" w:eastAsia="仿宋_GB2312" w:cs="仿宋_GB2312"/>
          <w:sz w:val="32"/>
          <w:szCs w:val="40"/>
          <w:lang w:val="en-US" w:eastAsia="zh-CN"/>
        </w:rPr>
        <w:t>力度</w:t>
      </w:r>
      <w:r>
        <w:rPr>
          <w:rFonts w:hint="eastAsia" w:ascii="仿宋_GB2312" w:hAnsi="仿宋_GB2312" w:eastAsia="仿宋_GB2312" w:cs="仿宋_GB2312"/>
          <w:sz w:val="32"/>
          <w:szCs w:val="40"/>
          <w:lang w:eastAsia="zh-CN"/>
        </w:rPr>
        <w:t>。深入推进审务、检务、警务公开，依托现代信息手段，最大限度的让执法司法权在阳光下运行。</w:t>
      </w:r>
      <w:r>
        <w:rPr>
          <w:rFonts w:hint="eastAsia" w:ascii="仿宋_GB2312" w:hAnsi="仿宋_GB2312" w:eastAsia="仿宋_GB2312" w:cs="仿宋_GB2312"/>
          <w:sz w:val="32"/>
          <w:szCs w:val="40"/>
          <w:lang w:val="en-US" w:eastAsia="zh-CN"/>
        </w:rPr>
        <w:t>更加</w:t>
      </w:r>
      <w:r>
        <w:rPr>
          <w:rFonts w:hint="eastAsia" w:ascii="仿宋_GB2312" w:hAnsi="仿宋_GB2312" w:eastAsia="仿宋_GB2312" w:cs="仿宋_GB2312"/>
          <w:sz w:val="32"/>
          <w:szCs w:val="40"/>
          <w:lang w:eastAsia="zh-CN"/>
        </w:rPr>
        <w:t>扎实开展司法案件评查工作，建立健全案件评查机制，加大政法机关内部监督力度，定期组织专家和业务骨干开展审查、评查、剖析案件，依法解决办案中存在的问题。</w:t>
      </w:r>
      <w:r>
        <w:rPr>
          <w:rFonts w:hint="eastAsia" w:ascii="仿宋_GB2312" w:hAnsi="仿宋_GB2312" w:eastAsia="仿宋_GB2312" w:cs="仿宋_GB2312"/>
          <w:sz w:val="32"/>
          <w:szCs w:val="40"/>
          <w:lang w:val="en-US" w:eastAsia="zh-CN"/>
        </w:rPr>
        <w:t>进一步规范执法行为，深入排查政法各单位违反三个规定情况。督促办案单位提高尚未化解的涉法涉诉信访案件化解力度，提高我县涉法涉诉信访案件的化解率。努力让人民群众在每一个司法案件中感受到公平正义。</w:t>
      </w:r>
    </w:p>
    <w:p>
      <w:pPr>
        <w:ind w:firstLine="640" w:firstLineChars="200"/>
        <w:rPr>
          <w:rFonts w:hint="eastAsia" w:ascii="仿宋_GB2312" w:hAnsi="仿宋_GB2312" w:eastAsia="仿宋_GB2312" w:cs="仿宋_GB2312"/>
          <w:sz w:val="32"/>
          <w:szCs w:val="40"/>
        </w:rPr>
      </w:pPr>
      <w:r>
        <w:rPr>
          <w:rFonts w:hint="eastAsia" w:ascii="楷体_GB2312" w:hAnsi="楷体_GB2312" w:eastAsia="楷体_GB2312" w:cs="楷体_GB2312"/>
          <w:sz w:val="32"/>
          <w:szCs w:val="40"/>
          <w:lang w:val="en-US" w:eastAsia="zh-CN"/>
        </w:rPr>
        <w:t>（三）大力推进素质强警，锻造过硬政法队伍。</w:t>
      </w:r>
      <w:r>
        <w:rPr>
          <w:rFonts w:hint="eastAsia" w:ascii="仿宋_GB2312" w:hAnsi="仿宋_GB2312" w:eastAsia="仿宋_GB2312" w:cs="仿宋_GB2312"/>
          <w:sz w:val="32"/>
          <w:szCs w:val="40"/>
          <w:lang w:val="en-US" w:eastAsia="zh-CN"/>
        </w:rPr>
        <w:t>坚持党对政法工作的绝对领导，把政治练兵置于首要位置，制定出台政治轮训工作方案和政治练兵实施办法，坚持和完善“第一议题”制度，把党性锻炼贯穿学习培训始终，持续激发政法干警加强政治理论学习的内生动力。完善政法干警职业保障制度，落实爱警暖警惠警各项举措，进一步激发干警干事创业积极性。培育选树先进典型。大力培育选树政法各领城业务专家、办案能手、工作标兵，使广大干警学有榜样、干有标杆。</w:t>
      </w:r>
    </w:p>
    <w:p>
      <w:pPr>
        <w:ind w:firstLine="640" w:firstLineChars="200"/>
        <w:rPr>
          <w:rFonts w:hint="eastAsia" w:ascii="仿宋_GB2312" w:hAnsi="仿宋_GB2312" w:eastAsia="仿宋_GB2312" w:cs="仿宋_GB2312"/>
          <w:sz w:val="32"/>
          <w:szCs w:val="40"/>
          <w:lang w:val="en-US" w:eastAsia="zh-CN"/>
        </w:rPr>
      </w:pPr>
    </w:p>
    <w:p>
      <w:pPr>
        <w:rPr>
          <w:rFonts w:hint="eastAsia" w:ascii="仿宋_GB2312" w:hAnsi="仿宋_GB2312" w:eastAsia="仿宋_GB2312" w:cs="仿宋_GB2312"/>
          <w:sz w:val="32"/>
          <w:szCs w:val="40"/>
        </w:rPr>
      </w:pPr>
    </w:p>
    <w:p>
      <w:pPr>
        <w:pStyle w:val="2"/>
        <w:rPr>
          <w:rFonts w:hint="eastAsia"/>
        </w:rPr>
      </w:pPr>
    </w:p>
    <w:p>
      <w:pPr>
        <w:ind w:firstLine="640" w:firstLineChars="200"/>
        <w:rPr>
          <w:rFonts w:hint="eastAsia" w:ascii="仿宋_GB2312" w:hAnsi="仿宋_GB2312" w:eastAsia="仿宋_GB2312" w:cs="仿宋_GB2312"/>
          <w:sz w:val="32"/>
          <w:szCs w:val="40"/>
        </w:rPr>
      </w:pPr>
    </w:p>
    <w:p>
      <w:pPr>
        <w:pStyle w:val="2"/>
        <w:numPr>
          <w:ilvl w:val="0"/>
          <w:numId w:val="0"/>
        </w:numPr>
        <w:ind w:leftChars="200"/>
        <w:rPr>
          <w:rFonts w:hint="eastAsia"/>
        </w:rPr>
      </w:pPr>
    </w:p>
    <w:p>
      <w:pPr>
        <w:pStyle w:val="2"/>
        <w:rPr>
          <w:rFonts w:hint="eastAsia"/>
        </w:rPr>
      </w:pPr>
    </w:p>
    <w:p>
      <w:pPr>
        <w:spacing w:line="580" w:lineRule="exact"/>
        <w:ind w:firstLine="640" w:firstLineChars="200"/>
        <w:jc w:val="right"/>
        <w:rPr>
          <w:rFonts w:hint="default" w:ascii="仿宋_GB2312" w:hAnsi="仿宋" w:eastAsia="仿宋_GB2312" w:cs="仿宋"/>
          <w:sz w:val="32"/>
          <w:szCs w:val="32"/>
          <w:lang w:val="en-US" w:eastAsia="zh-CN"/>
        </w:rPr>
      </w:pPr>
    </w:p>
    <w:sectPr>
      <w:footerReference r:id="rId3" w:type="default"/>
      <w:pgSz w:w="11906" w:h="16838"/>
      <w:pgMar w:top="1440" w:right="1418" w:bottom="1440" w:left="1418" w:header="851" w:footer="90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597553"/>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1918A3"/>
    <w:multiLevelType w:val="singleLevel"/>
    <w:tmpl w:val="181918A3"/>
    <w:lvl w:ilvl="0" w:tentative="0">
      <w:start w:val="1"/>
      <w:numFmt w:val="chineseCounting"/>
      <w:suff w:val="nothing"/>
      <w:lvlText w:val="（%1）"/>
      <w:lvlJc w:val="left"/>
      <w:rPr>
        <w:rFonts w:hint="eastAsia"/>
      </w:rPr>
    </w:lvl>
  </w:abstractNum>
  <w:abstractNum w:abstractNumId="1">
    <w:nsid w:val="49A3FBE1"/>
    <w:multiLevelType w:val="singleLevel"/>
    <w:tmpl w:val="49A3FBE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9912A5"/>
    <w:rsid w:val="00010384"/>
    <w:rsid w:val="000219D7"/>
    <w:rsid w:val="00030D37"/>
    <w:rsid w:val="00036C6E"/>
    <w:rsid w:val="00044AEF"/>
    <w:rsid w:val="000561F8"/>
    <w:rsid w:val="00095B25"/>
    <w:rsid w:val="00097FFA"/>
    <w:rsid w:val="000A02A5"/>
    <w:rsid w:val="000E01D7"/>
    <w:rsid w:val="000E234B"/>
    <w:rsid w:val="000E24E8"/>
    <w:rsid w:val="000F08AF"/>
    <w:rsid w:val="000F7B7D"/>
    <w:rsid w:val="0012567A"/>
    <w:rsid w:val="001313A1"/>
    <w:rsid w:val="0014032D"/>
    <w:rsid w:val="0016399E"/>
    <w:rsid w:val="00175B3D"/>
    <w:rsid w:val="00183973"/>
    <w:rsid w:val="00185585"/>
    <w:rsid w:val="00190E05"/>
    <w:rsid w:val="00194323"/>
    <w:rsid w:val="0019507C"/>
    <w:rsid w:val="001A55DD"/>
    <w:rsid w:val="001B0CA7"/>
    <w:rsid w:val="001B6CED"/>
    <w:rsid w:val="001C3462"/>
    <w:rsid w:val="001C3C2C"/>
    <w:rsid w:val="001D3384"/>
    <w:rsid w:val="001D7D16"/>
    <w:rsid w:val="001E18D0"/>
    <w:rsid w:val="001E29BD"/>
    <w:rsid w:val="001F40BD"/>
    <w:rsid w:val="002134A9"/>
    <w:rsid w:val="002172D9"/>
    <w:rsid w:val="00250E8B"/>
    <w:rsid w:val="00291D77"/>
    <w:rsid w:val="0029481F"/>
    <w:rsid w:val="0029751A"/>
    <w:rsid w:val="002A42E0"/>
    <w:rsid w:val="002B0D4C"/>
    <w:rsid w:val="002B5206"/>
    <w:rsid w:val="002B6110"/>
    <w:rsid w:val="002C7A60"/>
    <w:rsid w:val="002C7D37"/>
    <w:rsid w:val="002D077B"/>
    <w:rsid w:val="002E300F"/>
    <w:rsid w:val="002E53C7"/>
    <w:rsid w:val="0030222D"/>
    <w:rsid w:val="0031560E"/>
    <w:rsid w:val="003335BB"/>
    <w:rsid w:val="00362B54"/>
    <w:rsid w:val="003659B0"/>
    <w:rsid w:val="00370023"/>
    <w:rsid w:val="00374D33"/>
    <w:rsid w:val="00382185"/>
    <w:rsid w:val="003822AF"/>
    <w:rsid w:val="00390958"/>
    <w:rsid w:val="00395180"/>
    <w:rsid w:val="003958E0"/>
    <w:rsid w:val="003A4422"/>
    <w:rsid w:val="003A4B9F"/>
    <w:rsid w:val="003A6DEA"/>
    <w:rsid w:val="003C76E4"/>
    <w:rsid w:val="003D5214"/>
    <w:rsid w:val="003D58C8"/>
    <w:rsid w:val="003D65D6"/>
    <w:rsid w:val="003D6B2C"/>
    <w:rsid w:val="003E79F3"/>
    <w:rsid w:val="003E7FD2"/>
    <w:rsid w:val="004106AB"/>
    <w:rsid w:val="004122F3"/>
    <w:rsid w:val="00414CB5"/>
    <w:rsid w:val="00422B8E"/>
    <w:rsid w:val="004329C8"/>
    <w:rsid w:val="00451F29"/>
    <w:rsid w:val="00453AB8"/>
    <w:rsid w:val="00460307"/>
    <w:rsid w:val="004A75AC"/>
    <w:rsid w:val="004B48C7"/>
    <w:rsid w:val="004B6166"/>
    <w:rsid w:val="004C4CA1"/>
    <w:rsid w:val="004E6038"/>
    <w:rsid w:val="00505C42"/>
    <w:rsid w:val="005074ED"/>
    <w:rsid w:val="005164BC"/>
    <w:rsid w:val="0052144D"/>
    <w:rsid w:val="00535491"/>
    <w:rsid w:val="005502C6"/>
    <w:rsid w:val="005A607D"/>
    <w:rsid w:val="005B15BF"/>
    <w:rsid w:val="005B5031"/>
    <w:rsid w:val="005B7A99"/>
    <w:rsid w:val="005C5F5C"/>
    <w:rsid w:val="005E1F46"/>
    <w:rsid w:val="005F1365"/>
    <w:rsid w:val="00604F62"/>
    <w:rsid w:val="006057D1"/>
    <w:rsid w:val="006135FB"/>
    <w:rsid w:val="00620B7D"/>
    <w:rsid w:val="00621E7A"/>
    <w:rsid w:val="006268D1"/>
    <w:rsid w:val="00633541"/>
    <w:rsid w:val="00633E24"/>
    <w:rsid w:val="00645DC6"/>
    <w:rsid w:val="00653B93"/>
    <w:rsid w:val="006627BA"/>
    <w:rsid w:val="00666A6F"/>
    <w:rsid w:val="00676859"/>
    <w:rsid w:val="00676A36"/>
    <w:rsid w:val="006969A7"/>
    <w:rsid w:val="006A14EB"/>
    <w:rsid w:val="006A193D"/>
    <w:rsid w:val="006A6D21"/>
    <w:rsid w:val="006B24AB"/>
    <w:rsid w:val="006B5116"/>
    <w:rsid w:val="006B6F25"/>
    <w:rsid w:val="006D14F8"/>
    <w:rsid w:val="00703584"/>
    <w:rsid w:val="00712813"/>
    <w:rsid w:val="007315B6"/>
    <w:rsid w:val="0073166C"/>
    <w:rsid w:val="0076146D"/>
    <w:rsid w:val="0077000C"/>
    <w:rsid w:val="007961E9"/>
    <w:rsid w:val="007A59C8"/>
    <w:rsid w:val="007D15F4"/>
    <w:rsid w:val="007E21D8"/>
    <w:rsid w:val="007E7275"/>
    <w:rsid w:val="00805B67"/>
    <w:rsid w:val="0081091B"/>
    <w:rsid w:val="00813DFF"/>
    <w:rsid w:val="008221BB"/>
    <w:rsid w:val="00824D5F"/>
    <w:rsid w:val="00826136"/>
    <w:rsid w:val="00830667"/>
    <w:rsid w:val="008312EE"/>
    <w:rsid w:val="0084023A"/>
    <w:rsid w:val="008458E1"/>
    <w:rsid w:val="00846A84"/>
    <w:rsid w:val="00851C00"/>
    <w:rsid w:val="00856C3A"/>
    <w:rsid w:val="0086336B"/>
    <w:rsid w:val="0087785C"/>
    <w:rsid w:val="00877E6F"/>
    <w:rsid w:val="008922BA"/>
    <w:rsid w:val="00894DE5"/>
    <w:rsid w:val="008B722D"/>
    <w:rsid w:val="008F59A7"/>
    <w:rsid w:val="009037AA"/>
    <w:rsid w:val="009209F5"/>
    <w:rsid w:val="009368EE"/>
    <w:rsid w:val="009378B9"/>
    <w:rsid w:val="00944C48"/>
    <w:rsid w:val="00951020"/>
    <w:rsid w:val="009618D5"/>
    <w:rsid w:val="0096302F"/>
    <w:rsid w:val="0096460C"/>
    <w:rsid w:val="00973B82"/>
    <w:rsid w:val="009772A4"/>
    <w:rsid w:val="00980BA7"/>
    <w:rsid w:val="0098256F"/>
    <w:rsid w:val="009912A5"/>
    <w:rsid w:val="009941D9"/>
    <w:rsid w:val="009D5F75"/>
    <w:rsid w:val="009F49CC"/>
    <w:rsid w:val="00A05E22"/>
    <w:rsid w:val="00A20086"/>
    <w:rsid w:val="00A35DED"/>
    <w:rsid w:val="00A370CF"/>
    <w:rsid w:val="00A47733"/>
    <w:rsid w:val="00A47C23"/>
    <w:rsid w:val="00A60E18"/>
    <w:rsid w:val="00A66F22"/>
    <w:rsid w:val="00A70F15"/>
    <w:rsid w:val="00A72C4A"/>
    <w:rsid w:val="00A807E6"/>
    <w:rsid w:val="00A83DC7"/>
    <w:rsid w:val="00A94074"/>
    <w:rsid w:val="00AA1F16"/>
    <w:rsid w:val="00AA5864"/>
    <w:rsid w:val="00AB42B0"/>
    <w:rsid w:val="00AB7650"/>
    <w:rsid w:val="00AC403B"/>
    <w:rsid w:val="00AD7A63"/>
    <w:rsid w:val="00AE0360"/>
    <w:rsid w:val="00AE06F1"/>
    <w:rsid w:val="00AF463B"/>
    <w:rsid w:val="00B027FC"/>
    <w:rsid w:val="00B14402"/>
    <w:rsid w:val="00B23C12"/>
    <w:rsid w:val="00B2787C"/>
    <w:rsid w:val="00B34E8E"/>
    <w:rsid w:val="00B44314"/>
    <w:rsid w:val="00B47FF9"/>
    <w:rsid w:val="00B508B0"/>
    <w:rsid w:val="00B54CDB"/>
    <w:rsid w:val="00B636D9"/>
    <w:rsid w:val="00B7382A"/>
    <w:rsid w:val="00B8054F"/>
    <w:rsid w:val="00B811B1"/>
    <w:rsid w:val="00B85BBF"/>
    <w:rsid w:val="00B965A1"/>
    <w:rsid w:val="00B97273"/>
    <w:rsid w:val="00BA4F10"/>
    <w:rsid w:val="00BC496E"/>
    <w:rsid w:val="00BD7C79"/>
    <w:rsid w:val="00BD7FE8"/>
    <w:rsid w:val="00BE118A"/>
    <w:rsid w:val="00C0227A"/>
    <w:rsid w:val="00C102D2"/>
    <w:rsid w:val="00C12F36"/>
    <w:rsid w:val="00C14097"/>
    <w:rsid w:val="00C14580"/>
    <w:rsid w:val="00C30EEE"/>
    <w:rsid w:val="00C75B33"/>
    <w:rsid w:val="00C82C12"/>
    <w:rsid w:val="00C96C81"/>
    <w:rsid w:val="00CA5519"/>
    <w:rsid w:val="00CA693B"/>
    <w:rsid w:val="00CB186A"/>
    <w:rsid w:val="00D00238"/>
    <w:rsid w:val="00D05010"/>
    <w:rsid w:val="00D0582A"/>
    <w:rsid w:val="00D13ACC"/>
    <w:rsid w:val="00D46F61"/>
    <w:rsid w:val="00D6070D"/>
    <w:rsid w:val="00D63C10"/>
    <w:rsid w:val="00D73712"/>
    <w:rsid w:val="00D806A0"/>
    <w:rsid w:val="00D808E2"/>
    <w:rsid w:val="00D8467B"/>
    <w:rsid w:val="00D95104"/>
    <w:rsid w:val="00D96FF7"/>
    <w:rsid w:val="00DA1310"/>
    <w:rsid w:val="00DA4603"/>
    <w:rsid w:val="00DB1AFD"/>
    <w:rsid w:val="00DB5905"/>
    <w:rsid w:val="00DC08E9"/>
    <w:rsid w:val="00DC5317"/>
    <w:rsid w:val="00DE51C0"/>
    <w:rsid w:val="00DF08E5"/>
    <w:rsid w:val="00E024AE"/>
    <w:rsid w:val="00E05C67"/>
    <w:rsid w:val="00E169D7"/>
    <w:rsid w:val="00E21F8F"/>
    <w:rsid w:val="00E26D08"/>
    <w:rsid w:val="00E279A4"/>
    <w:rsid w:val="00E440CA"/>
    <w:rsid w:val="00E46ED5"/>
    <w:rsid w:val="00E54113"/>
    <w:rsid w:val="00E63A6E"/>
    <w:rsid w:val="00E66C58"/>
    <w:rsid w:val="00E96C52"/>
    <w:rsid w:val="00EA7523"/>
    <w:rsid w:val="00EC3216"/>
    <w:rsid w:val="00EC7E73"/>
    <w:rsid w:val="00EC7F55"/>
    <w:rsid w:val="00ED4869"/>
    <w:rsid w:val="00ED555A"/>
    <w:rsid w:val="00ED6B3F"/>
    <w:rsid w:val="00EE1383"/>
    <w:rsid w:val="00EE26D6"/>
    <w:rsid w:val="00F04E0B"/>
    <w:rsid w:val="00F37FA8"/>
    <w:rsid w:val="00F47022"/>
    <w:rsid w:val="00F47C88"/>
    <w:rsid w:val="00F76661"/>
    <w:rsid w:val="00F940B8"/>
    <w:rsid w:val="00FA036A"/>
    <w:rsid w:val="00FA2AFB"/>
    <w:rsid w:val="00FA7F1B"/>
    <w:rsid w:val="00FB49D4"/>
    <w:rsid w:val="0F1F58A5"/>
    <w:rsid w:val="239012B3"/>
    <w:rsid w:val="25044EDD"/>
    <w:rsid w:val="3CCB374A"/>
    <w:rsid w:val="433C636D"/>
    <w:rsid w:val="6DD70DE0"/>
    <w:rsid w:val="71CD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autoRedefine/>
    <w:semiHidden/>
    <w:unhideWhenUsed/>
    <w:qFormat/>
    <w:uiPriority w:val="99"/>
    <w:pPr>
      <w:spacing w:after="120"/>
    </w:pPr>
  </w:style>
  <w:style w:type="paragraph" w:styleId="3">
    <w:name w:val="Body Text Indent"/>
    <w:basedOn w:val="1"/>
    <w:link w:val="17"/>
    <w:autoRedefine/>
    <w:semiHidden/>
    <w:unhideWhenUsed/>
    <w:qFormat/>
    <w:uiPriority w:val="99"/>
    <w:pPr>
      <w:spacing w:after="120"/>
      <w:ind w:left="420" w:leftChars="200"/>
    </w:p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autoRedefine/>
    <w:semiHidden/>
    <w:unhideWhenUsed/>
    <w:qFormat/>
    <w:uiPriority w:val="99"/>
    <w:rPr>
      <w:rFonts w:ascii="Times New Roman" w:hAnsi="Times New Roman"/>
      <w:sz w:val="24"/>
    </w:rPr>
  </w:style>
  <w:style w:type="paragraph" w:styleId="7">
    <w:name w:val="Body Text First Indent 2"/>
    <w:basedOn w:val="3"/>
    <w:link w:val="18"/>
    <w:autoRedefine/>
    <w:semiHidden/>
    <w:unhideWhenUsed/>
    <w:qFormat/>
    <w:uiPriority w:val="99"/>
    <w:pPr>
      <w:ind w:firstLine="420" w:firstLineChars="200"/>
    </w:pPr>
  </w:style>
  <w:style w:type="character" w:styleId="10">
    <w:name w:val="Strong"/>
    <w:basedOn w:val="9"/>
    <w:autoRedefine/>
    <w:qFormat/>
    <w:uiPriority w:val="22"/>
    <w:rPr>
      <w:b/>
      <w:bCs/>
    </w:rPr>
  </w:style>
  <w:style w:type="character" w:customStyle="1" w:styleId="11">
    <w:name w:val="页眉 字符"/>
    <w:basedOn w:val="9"/>
    <w:link w:val="5"/>
    <w:autoRedefine/>
    <w:qFormat/>
    <w:uiPriority w:val="99"/>
    <w:rPr>
      <w:sz w:val="18"/>
      <w:szCs w:val="18"/>
    </w:rPr>
  </w:style>
  <w:style w:type="character" w:customStyle="1" w:styleId="12">
    <w:name w:val="页脚 字符"/>
    <w:basedOn w:val="9"/>
    <w:link w:val="4"/>
    <w:autoRedefine/>
    <w:qFormat/>
    <w:uiPriority w:val="99"/>
    <w:rPr>
      <w:sz w:val="18"/>
      <w:szCs w:val="18"/>
    </w:rPr>
  </w:style>
  <w:style w:type="paragraph" w:styleId="13">
    <w:name w:val="List Paragraph"/>
    <w:basedOn w:val="1"/>
    <w:autoRedefine/>
    <w:qFormat/>
    <w:uiPriority w:val="34"/>
    <w:pPr>
      <w:ind w:firstLine="420" w:firstLineChars="200"/>
    </w:pPr>
  </w:style>
  <w:style w:type="paragraph" w:customStyle="1" w:styleId="14">
    <w:name w:val="_Style 1"/>
    <w:basedOn w:val="1"/>
    <w:autoRedefine/>
    <w:qFormat/>
    <w:uiPriority w:val="0"/>
    <w:pPr>
      <w:spacing w:line="481" w:lineRule="atLeast"/>
      <w:ind w:firstLine="623"/>
      <w:textAlignment w:val="baseline"/>
    </w:pPr>
    <w:rPr>
      <w:rFonts w:ascii="Times New Roman" w:eastAsia="仿宋_GB2312" w:hAnsiTheme="minorHAnsi" w:cstheme="minorBidi"/>
      <w:color w:val="000000"/>
      <w:sz w:val="31"/>
    </w:rPr>
  </w:style>
  <w:style w:type="paragraph" w:customStyle="1" w:styleId="15">
    <w:name w:val="Body Text First Indent1"/>
    <w:basedOn w:val="2"/>
    <w:next w:val="6"/>
    <w:autoRedefine/>
    <w:qFormat/>
    <w:uiPriority w:val="0"/>
    <w:pPr>
      <w:tabs>
        <w:tab w:val="left" w:pos="2250"/>
      </w:tabs>
      <w:spacing w:after="0"/>
      <w:ind w:firstLine="420" w:firstLineChars="100"/>
      <w:jc w:val="center"/>
    </w:pPr>
    <w:rPr>
      <w:rFonts w:ascii="方正小标宋简体" w:eastAsia="方正小标宋简体" w:hAnsiTheme="minorHAnsi" w:cstheme="minorBidi"/>
      <w:sz w:val="44"/>
      <w:szCs w:val="21"/>
    </w:rPr>
  </w:style>
  <w:style w:type="character" w:customStyle="1" w:styleId="16">
    <w:name w:val="正文文本 字符"/>
    <w:basedOn w:val="9"/>
    <w:link w:val="2"/>
    <w:autoRedefine/>
    <w:semiHidden/>
    <w:qFormat/>
    <w:uiPriority w:val="99"/>
    <w:rPr>
      <w:rFonts w:ascii="Calibri" w:hAnsi="Calibri" w:eastAsia="宋体" w:cs="Times New Roman"/>
      <w:szCs w:val="24"/>
    </w:rPr>
  </w:style>
  <w:style w:type="character" w:customStyle="1" w:styleId="17">
    <w:name w:val="正文文本缩进 字符"/>
    <w:basedOn w:val="9"/>
    <w:link w:val="3"/>
    <w:autoRedefine/>
    <w:semiHidden/>
    <w:qFormat/>
    <w:uiPriority w:val="99"/>
    <w:rPr>
      <w:rFonts w:ascii="Calibri" w:hAnsi="Calibri" w:eastAsia="宋体" w:cs="Times New Roman"/>
      <w:szCs w:val="24"/>
    </w:rPr>
  </w:style>
  <w:style w:type="character" w:customStyle="1" w:styleId="18">
    <w:name w:val="正文文本首行缩进 2 字符"/>
    <w:basedOn w:val="17"/>
    <w:link w:val="7"/>
    <w:autoRedefine/>
    <w:semiHidden/>
    <w:qFormat/>
    <w:uiPriority w:val="99"/>
    <w:rPr>
      <w:rFonts w:ascii="Calibri" w:hAnsi="Calibri"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2DB72-3B5B-41D2-B113-2F91BDEE4634}">
  <ds:schemaRefs/>
</ds:datastoreItem>
</file>

<file path=docProps/app.xml><?xml version="1.0" encoding="utf-8"?>
<Properties xmlns="http://schemas.openxmlformats.org/officeDocument/2006/extended-properties" xmlns:vt="http://schemas.openxmlformats.org/officeDocument/2006/docPropsVTypes">
  <Template>Normal</Template>
  <Pages>8</Pages>
  <Words>4514</Words>
  <Characters>4615</Characters>
  <Lines>33</Lines>
  <Paragraphs>9</Paragraphs>
  <TotalTime>0</TotalTime>
  <ScaleCrop>false</ScaleCrop>
  <LinksUpToDate>false</LinksUpToDate>
  <CharactersWithSpaces>4629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2022-06-13T08:01:00Z</dcterms:created>
  <dc:creator>lenovo</dc:creator>
  <cp:lastModifiedBy>大海</cp:lastModifiedBy>
  <cp:lastPrinted>2022-10-28T04:06:00Z</cp:lastPrinted>
  <dcterms:modified xsi:type="dcterms:W3CDTF">2024-02-20T08:12:27Z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B957220695CD4755A40F5371B294EDEF_13</vt:lpwstr>
  </property>
</Properties>
</file>